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Manual de uso de donoradmin 2.3.0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Guia por perfiles y responsabilidades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Actualizacion: 02/09/2026</w:t>
      </w:r>
    </w:p>
    <w:p>
      <w:pPr>
        <w:pStyle w:val="Heading1"/>
      </w:pPr>
      <w:r>
        <w:t xml:space="preserve">Indice</w:t>
      </w:r>
    </w:p>
    <w:p>
      <w:fldSimple w:instr="TOC \o &quot;1-3&quot; \h \z \u">
        <w:r>
          <w:t>Actualice este campo en Word para generar el indice.</w:t>
        </w:r>
      </w:fldSimple>
    </w:p>
    <w:p>
      <w:r>
        <w:br w:type="pag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Este manual describe las capacidades visibles y autorizadas por el codigo actual. Las opciones pueden aparecer deshabilitadas cuando el estado del registro impide una accion, aunque el perfil tenga permiso general.</w:t>
      </w:r>
    </w:p>
    <w:p>
      <w:pPr>
        <w:pStyle w:val="Normal"/>
      </w:pPr>
      <w:r>
        <w:t xml:space="preserve"/>
      </w:r>
    </w:p>
    <w:p>
      <w:r>
        <w:br w:type="page"/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1. Perfiles disponibles</w:t>
      </w:r>
    </w:p>
    <w:p>
      <w:pPr>
        <w:pStyle w:val="Normal"/>
      </w:pPr>
      <w:r>
        <w:t xml:space="preserve"/>
      </w:r>
    </w:p>
    <w:tbl>
      <w:tblPr>
        <w:tblStyle w:val="TableGrid"/>
        <w:tblW w:w="0" w:type="auto"/>
      </w:tblPr>
      <w:tr>
        <w:tc>
          <w:tcPr>
            <w:tcW w:w="3000" w:type="dxa"/>
            <w:shd w:fill="D9EAF7"/>
          </w:tcPr>
          <w:p>
            <w:r>
              <w:rPr>
                <w:b/>
              </w:rPr>
              <w:t xml:space="preserve">Perfil</w:t>
            </w:r>
          </w:p>
        </w:tc>
        <w:tc>
          <w:tcPr>
            <w:tcW w:w="3000" w:type="dxa"/>
            <w:shd w:fill="D9EAF7"/>
          </w:tcPr>
          <w:p>
            <w:r>
              <w:rPr>
                <w:b/>
              </w:rPr>
              <w:t xml:space="preserve">Codigo</w:t>
            </w:r>
          </w:p>
        </w:tc>
        <w:tc>
          <w:tcPr>
            <w:tcW w:w="3000" w:type="dxa"/>
            <w:shd w:fill="D9EAF7"/>
          </w:tcPr>
          <w:p>
            <w:r>
              <w:rPr>
                <w:b/>
              </w:rPr>
              <w:t xml:space="preserve">Finalidad</w:t>
            </w:r>
          </w:p>
        </w:tc>
      </w:tr>
      <w:tr>
        <w:tc>
          <w:tcPr>
            <w:tcW w:w="3000" w:type="dxa"/>
          </w:tcPr>
          <w:p>
            <w:r>
              <w:t xml:space="preserve">IT</w:t>
            </w:r>
          </w:p>
        </w:tc>
        <w:tc>
          <w:tcPr>
            <w:tcW w:w="3000" w:type="dxa"/>
          </w:tcPr>
          <w:p>
            <w:r>
              <w:t xml:space="preserve">it</w:t>
            </w:r>
          </w:p>
        </w:tc>
        <w:tc>
          <w:tcPr>
            <w:tcW w:w="3000" w:type="dxa"/>
          </w:tcPr>
          <w:p>
            <w:r>
              <w:t xml:space="preserve">Configuracion, seguridad, diagnostico y acceso administrativo completo.</w:t>
            </w:r>
          </w:p>
        </w:tc>
      </w:tr>
      <w:tr>
        <w:tc>
          <w:tcPr>
            <w:tcW w:w="3000" w:type="dxa"/>
          </w:tcPr>
          <w:p>
            <w:r>
              <w:t xml:space="preserve">Administracion</w:t>
            </w:r>
          </w:p>
        </w:tc>
        <w:tc>
          <w:tcPr>
            <w:tcW w:w="3000" w:type="dxa"/>
          </w:tcPr>
          <w:p>
            <w:r>
              <w:t xml:space="preserve">adm</w:t>
            </w:r>
          </w:p>
        </w:tc>
        <w:tc>
          <w:tcPr>
            <w:tcW w:w="3000" w:type="dxa"/>
          </w:tcPr>
          <w:p>
            <w:r>
              <w:t xml:space="preserve">Gestion interna de donantes, donaciones, recurrencias y operativa SEPA.</w:t>
            </w:r>
          </w:p>
        </w:tc>
      </w:tr>
      <w:tr>
        <w:tc>
          <w:tcPr>
            <w:tcW w:w="3000" w:type="dxa"/>
          </w:tcPr>
          <w:p>
            <w:r>
              <w:t xml:space="preserve">Marketing</w:t>
            </w:r>
          </w:p>
        </w:tc>
        <w:tc>
          <w:tcPr>
            <w:tcW w:w="3000" w:type="dxa"/>
          </w:tcPr>
          <w:p>
            <w:r>
              <w:t xml:space="preserve">mkt</w:t>
            </w:r>
          </w:p>
        </w:tc>
        <w:tc>
          <w:tcPr>
            <w:tcW w:w="3000" w:type="dxa"/>
          </w:tcPr>
          <w:p>
            <w:r>
              <w:t xml:space="preserve">Campañas, contenidos, plantillas, medios y canales.</w:t>
            </w:r>
          </w:p>
        </w:tc>
      </w:tr>
      <w:tr>
        <w:tc>
          <w:tcPr>
            <w:tcW w:w="3000" w:type="dxa"/>
          </w:tcPr>
          <w:p>
            <w:r>
              <w:t xml:space="preserve">Donante</w:t>
            </w:r>
          </w:p>
        </w:tc>
        <w:tc>
          <w:tcPr>
            <w:tcW w:w="3000" w:type="dxa"/>
          </w:tcPr>
          <w:p>
            <w:r>
              <w:t xml:space="preserve">don</w:t>
            </w:r>
          </w:p>
        </w:tc>
        <w:tc>
          <w:tcPr>
            <w:tcW w:w="3000" w:type="dxa"/>
          </w:tcPr>
          <w:p>
            <w:r>
              <w:t xml:space="preserve">Acceso restringido a su area personal.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Heading1"/>
      </w:pPr>
      <w:r>
        <w:t xml:space="preserve">2. Funciones comunes de IT, Administracion y Marketing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Los tres perfiles de oficina pueden consultar el dashboard, donantes, donaciones, recurrencias y campañas; abrir fichas; usar filtros y ordenacion; y descargar informes Excel de estos listados. La posibilidad de modificar un dato concreto depende del perfil, del estado del registro y de las validaciones indicadas en cada ficha.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Todos deben cerrar sesion al terminar, comprobar el registro antes de una accion irreversible y evitar usar exportaciones fuera de los fines autorizados.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3. Perfil IT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IT dispone del alcance administrativo mas amplio. Ademas de las funciones comunes puede acceder a toda la configuracion: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General, integraciones y pasarelas de pago.</w:t>
      </w:r>
    </w:p>
    <w:p>
      <w:pPr>
        <w:pStyle w:val="Normal"/>
        <w:numPr>
          <w:ilvl w:val="0"/>
          <w:numId w:val="1"/>
        </w:numPr>
      </w:pPr>
      <w:r>
        <w:t xml:space="preserve">Estado de SMTP, emails y envios programados.</w:t>
      </w:r>
    </w:p>
    <w:p>
      <w:pPr>
        <w:pStyle w:val="Normal"/>
        <w:numPr>
          <w:ilvl w:val="0"/>
          <w:numId w:val="1"/>
        </w:numPr>
      </w:pPr>
      <w:r>
        <w:t xml:space="preserve">Biblioteca de medios, plantillas, canales y textos de notificacion.</w:t>
      </w:r>
    </w:p>
    <w:p>
      <w:pPr>
        <w:pStyle w:val="Normal"/>
        <w:numPr>
          <w:ilvl w:val="0"/>
          <w:numId w:val="1"/>
        </w:numPr>
      </w:pPr>
      <w:r>
        <w:t xml:space="preserve">Usuarios y roles, seguridad, politicas y fiscalidad.</w:t>
      </w:r>
    </w:p>
    <w:p>
      <w:pPr>
        <w:pStyle w:val="Normal"/>
        <w:numPr>
          <w:ilvl w:val="0"/>
          <w:numId w:val="1"/>
        </w:numPr>
      </w:pPr>
      <w:r>
        <w:t xml:space="preserve">Alineacion Salesforce y revision de donaciones.</w:t>
      </w:r>
    </w:p>
    <w:p>
      <w:pPr>
        <w:pStyle w:val="Normal"/>
        <w:numPr>
          <w:ilvl w:val="0"/>
          <w:numId w:val="1"/>
        </w:numPr>
      </w:pPr>
      <w:r>
        <w:t xml:space="preserve">Duplicados, conciliacion y mandatos SEPA.</w:t>
      </w:r>
    </w:p>
    <w:p>
      <w:pPr>
        <w:pStyle w:val="Normal"/>
        <w:numPr>
          <w:ilvl w:val="0"/>
          <w:numId w:val="1"/>
        </w:numPr>
      </w:pPr>
      <w:r>
        <w:t xml:space="preserve">Logs, mantenimiento, catalogos tecnicos e intentos de donacion.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IT puede gestionar campañas, editar direcciones, administrar mandatos, revisar trazas tecnicas y ejecutar las acciones de mantenimiento que la interfaz habilite. Debe verificar dependencias y migraciones antes de cambiar configuracion, descargar logs solo cuando sea necesario y no usar mantenimiento como sustituto de un procedimiento de despliegue.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4. Perfil Administracion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Administracion gestiona la operativa diaria de donantes, donaciones y recurrencias. Puede consultar campañas e informes y acceder a estas herramientas de sistema: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Alineacion Salesforce.</w:t>
      </w:r>
    </w:p>
    <w:p>
      <w:pPr>
        <w:pStyle w:val="Normal"/>
        <w:numPr>
          <w:ilvl w:val="0"/>
          <w:numId w:val="1"/>
        </w:numPr>
      </w:pPr>
      <w:r>
        <w:t xml:space="preserve">Revision de donaciones.</w:t>
      </w:r>
    </w:p>
    <w:p>
      <w:pPr>
        <w:pStyle w:val="Normal"/>
        <w:numPr>
          <w:ilvl w:val="0"/>
          <w:numId w:val="1"/>
        </w:numPr>
      </w:pPr>
      <w:r>
        <w:t xml:space="preserve">Duplicados SEPA.</w:t>
      </w:r>
    </w:p>
    <w:p>
      <w:pPr>
        <w:pStyle w:val="Normal"/>
        <w:numPr>
          <w:ilvl w:val="0"/>
          <w:numId w:val="1"/>
        </w:numPr>
      </w:pPr>
      <w:r>
        <w:t xml:space="preserve">Conciliacion SEPA.</w:t>
      </w:r>
    </w:p>
    <w:p>
      <w:pPr>
        <w:pStyle w:val="Normal"/>
        <w:numPr>
          <w:ilvl w:val="0"/>
          <w:numId w:val="1"/>
        </w:numPr>
      </w:pPr>
      <w:r>
        <w:t xml:space="preserve">Mandatos SEPA.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Puede editar direcciones desde las fichas autorizadas, gestionar mandatos de donaciones o recurrencias y eliminar cuotas canceladas cuando no conservan donaciones pagadas. Las acciones quedan sujetas a estados, presentaciones bancarias, confirmaciones y auditoria. No accede a configuracion general, usuarios, seguridad, logs tecnicos, plantillas ni intentos de donacion.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5. Perfil Marketing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Marketing consulta la informacion operativa y gestiona campañas y contenidos. Puede crear y reordenar campañas y acceder a: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Biblioteca de medios.</w:t>
      </w:r>
    </w:p>
    <w:p>
      <w:pPr>
        <w:pStyle w:val="Normal"/>
        <w:numPr>
          <w:ilvl w:val="0"/>
          <w:numId w:val="1"/>
        </w:numPr>
      </w:pPr>
      <w:r>
        <w:t xml:space="preserve">Plantillas.</w:t>
      </w:r>
    </w:p>
    <w:p>
      <w:pPr>
        <w:pStyle w:val="Normal"/>
        <w:numPr>
          <w:ilvl w:val="0"/>
          <w:numId w:val="1"/>
        </w:numPr>
      </w:pPr>
      <w:r>
        <w:t xml:space="preserve">Canales.</w:t>
      </w:r>
    </w:p>
    <w:p>
      <w:pPr>
        <w:pStyle w:val="Normal"/>
        <w:numPr>
          <w:ilvl w:val="0"/>
          <w:numId w:val="1"/>
        </w:numPr>
      </w:pPr>
      <w:r>
        <w:t xml:space="preserve">Textos y notificaciones.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No puede editar direcciones reservadas a Administracion e IT ni acceder a configuracion tecnica, usuarios, seguridad, conciliacion, mandatos, revision de donaciones o intentos. Los cambios de plantillas deben previsualizarse y comprobar sus variables antes de publicarse.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6. Perfil Donante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El perfil Donante tiene acceso restringido a su dashboard y area personal. No entra en las pantallas de oficina ni en Configuracion. Su objetivo es consultar y gestionar exclusivamente la informacion propia que la aplicacion exponga.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7. Donantes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El listado permite buscar, filtrar, ordenar, abrir fichas y exportar resultados. La ficha agrupa identidad, direcciones, telefonos, emails, preferencias, donaciones, recurrencias, documentos y comunicaciones.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Antes de editar debe comprobarse que se esta actuando sobre el contacto correcto. Los cambios propuestos desde la pasarela requieren revision; fusionar o alterar datos principales puede afectar documentos y futuras comunicaciones.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8. Donaciones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El listado permite localizar operaciones por estado, campaña, importe y otros criterios. La ficha muestra pago, contacto, campaña, documentos y trazabilidad. Los estados economicos no deben cambiarse para resolver un problema de correo.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devuelta corresponde a una devolucion bancaria SEPA; reembolsada, a una devolucion de importe efectuada por CARF o la pasarela. Los reenvios de email deben responder a una solicitud real del donante.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9. Recurrencias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Las recurrencias permiten revisar periodicidad, importe, proximo cobro, cuotas y mandato. El importe o la cancelacion solo pueden modificarse cuando las cuotas afectadas no han sido presentadas en remesa. Una presentacion bancaria bloquea cambios que romperian la integridad del fichero.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10. Campañas e informes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Los perfiles de oficina consultan campañas, recaudacion, participantes y evolucion. IT y Marketing pueden crear y ordenar campañas. Las exportaciones respetan los filtros activos; antes de compartir un Excel debe revisarse su contenido y destinatario.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11. Operativa SEPA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La revision de duplicados localiza recurrencias potencialmente repetidas. La conciliacion analiza presentaciones y respuestas bancarias, previsualiza el resultado y aplica estados de forma trazable. Mandatos SEPA permite sustituir referencias provisionales en lote.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Antes de aplicar una operacion debe confirmarse el fichero, el periodo, los importes, el mandato y la secuencia. Un fichero ya procesado debe poder reconocerse sin duplicar efectos. Las devoluciones recirculadas conservan su historico y solo vuelven a remesa cuando son elegibles.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12. Plantillas, medios y comunicaciones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La biblioteca aloja recursos reutilizables. Las plantillas definen emails y documentos y pueden tener versiones. Deben comprobarse asunto, HTML, texto alternativo, variables, imagenes y previsualizacion antes de publicar.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Un fallo SMTP aparece como incidencia de comunicacion y no implica que la donacion haya fallado. La configuracion o prueba de canales tecnicos corresponde a IT.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13. Intentos de donacion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Solo IT accede al seguimiento tecnico. Los intentos abandonados esperan 15 minutos y los denegados o con error, 2 minutos. La recuperacion se omite si ya existe una donacion valida de esa persona el mismo dia o si ya se envio otra recuperacion equivalente.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Pendiente, Enviado, Fallido y Omitido describen el email de recuperacion, no necesariamente el estado economico. Antes de un envio manual debe revisarse el motivo tecnico y la actividad posterior del donante.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14. Usuarios, seguridad, logs y mantenimiento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Estas secciones son exclusivas de IT. Usuarios y roles permite invitaciones, reenvios y control de acceso sin dejar el sistema sin un IT activo. Seguridad muestra sesiones, bloqueos y diagnosticos. Logs separa auditoria funcional y trazas tecnicas. Mantenimiento debe ejecutarse con objetivo, comprobacion previa y registro del resultado.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15. Matriz resumida de acceso</w:t>
      </w:r>
    </w:p>
    <w:p>
      <w:pPr>
        <w:pStyle w:val="Normal"/>
      </w:pPr>
      <w:r>
        <w:t xml:space="preserve"/>
      </w:r>
    </w:p>
    <w:tbl>
      <w:tblPr>
        <w:tblStyle w:val="TableGrid"/>
        <w:tblW w:w="0" w:type="auto"/>
      </w:tblPr>
      <w:tr>
        <w:tc>
          <w:tcPr>
            <w:tcW w:w="1800" w:type="dxa"/>
            <w:shd w:fill="D9EAF7"/>
          </w:tcPr>
          <w:p>
            <w:r>
              <w:rPr>
                <w:b/>
              </w:rPr>
              <w:t xml:space="preserve">Area</w:t>
            </w:r>
          </w:p>
        </w:tc>
        <w:tc>
          <w:tcPr>
            <w:tcW w:w="1800" w:type="dxa"/>
            <w:shd w:fill="D9EAF7"/>
          </w:tcPr>
          <w:p>
            <w:r>
              <w:rPr>
                <w:b/>
              </w:rPr>
              <w:t xml:space="preserve">IT</w:t>
            </w:r>
          </w:p>
        </w:tc>
        <w:tc>
          <w:tcPr>
            <w:tcW w:w="1800" w:type="dxa"/>
            <w:shd w:fill="D9EAF7"/>
          </w:tcPr>
          <w:p>
            <w:r>
              <w:rPr>
                <w:b/>
              </w:rPr>
              <w:t xml:space="preserve">ADM</w:t>
            </w:r>
          </w:p>
        </w:tc>
        <w:tc>
          <w:tcPr>
            <w:tcW w:w="1800" w:type="dxa"/>
            <w:shd w:fill="D9EAF7"/>
          </w:tcPr>
          <w:p>
            <w:r>
              <w:rPr>
                <w:b/>
              </w:rPr>
              <w:t xml:space="preserve">MKT</w:t>
            </w:r>
          </w:p>
        </w:tc>
        <w:tc>
          <w:tcPr>
            <w:tcW w:w="1800" w:type="dxa"/>
            <w:shd w:fill="D9EAF7"/>
          </w:tcPr>
          <w:p>
            <w:r>
              <w:rPr>
                <w:b/>
              </w:rPr>
              <w:t xml:space="preserve">DON</w:t>
            </w:r>
          </w:p>
        </w:tc>
      </w:tr>
      <w:tr>
        <w:tc>
          <w:tcPr>
            <w:tcW w:w="1800" w:type="dxa"/>
          </w:tcPr>
          <w:p>
            <w:r>
              <w:t xml:space="preserve">Dashboard propio</w:t>
            </w:r>
          </w:p>
        </w:tc>
        <w:tc>
          <w:tcPr>
            <w:tcW w:w="1800" w:type="dxa"/>
          </w:tcPr>
          <w:p>
            <w:r>
              <w:t xml:space="preserve">Si</w:t>
            </w:r>
          </w:p>
        </w:tc>
        <w:tc>
          <w:tcPr>
            <w:tcW w:w="1800" w:type="dxa"/>
          </w:tcPr>
          <w:p>
            <w:r>
              <w:t xml:space="preserve">Si</w:t>
            </w:r>
          </w:p>
        </w:tc>
        <w:tc>
          <w:tcPr>
            <w:tcW w:w="1800" w:type="dxa"/>
          </w:tcPr>
          <w:p>
            <w:r>
              <w:t xml:space="preserve">Si</w:t>
            </w:r>
          </w:p>
        </w:tc>
        <w:tc>
          <w:tcPr>
            <w:tcW w:w="1800" w:type="dxa"/>
          </w:tcPr>
          <w:p>
            <w:r>
              <w:t xml:space="preserve">Si</w:t>
            </w:r>
          </w:p>
        </w:tc>
      </w:tr>
      <w:tr>
        <w:tc>
          <w:tcPr>
            <w:tcW w:w="1800" w:type="dxa"/>
          </w:tcPr>
          <w:p>
            <w:r>
              <w:t xml:space="preserve">Donantes, donaciones y recurrencias</w:t>
            </w:r>
          </w:p>
        </w:tc>
        <w:tc>
          <w:tcPr>
            <w:tcW w:w="1800" w:type="dxa"/>
          </w:tcPr>
          <w:p>
            <w:r>
              <w:t xml:space="preserve">Gestion</w:t>
            </w:r>
          </w:p>
        </w:tc>
        <w:tc>
          <w:tcPr>
            <w:tcW w:w="1800" w:type="dxa"/>
          </w:tcPr>
          <w:p>
            <w:r>
              <w:t xml:space="preserve">Gestion</w:t>
            </w:r>
          </w:p>
        </w:tc>
        <w:tc>
          <w:tcPr>
            <w:tcW w:w="1800" w:type="dxa"/>
          </w:tcPr>
          <w:p>
            <w:r>
              <w:t xml:space="preserve">Consulta operativa</w:t>
            </w:r>
          </w:p>
        </w:tc>
        <w:tc>
          <w:tcPr>
            <w:tcW w:w="1800" w:type="dxa"/>
          </w:tcPr>
          <w:p>
            <w:r>
              <w:t xml:space="preserve">No</w:t>
            </w:r>
          </w:p>
        </w:tc>
      </w:tr>
      <w:tr>
        <w:tc>
          <w:tcPr>
            <w:tcW w:w="1800" w:type="dxa"/>
          </w:tcPr>
          <w:p>
            <w:r>
              <w:t xml:space="preserve">Campañas</w:t>
            </w:r>
          </w:p>
        </w:tc>
        <w:tc>
          <w:tcPr>
            <w:tcW w:w="1800" w:type="dxa"/>
          </w:tcPr>
          <w:p>
            <w:r>
              <w:t xml:space="preserve">Gestion</w:t>
            </w:r>
          </w:p>
        </w:tc>
        <w:tc>
          <w:tcPr>
            <w:tcW w:w="1800" w:type="dxa"/>
          </w:tcPr>
          <w:p>
            <w:r>
              <w:t xml:space="preserve">Consulta</w:t>
            </w:r>
          </w:p>
        </w:tc>
        <w:tc>
          <w:tcPr>
            <w:tcW w:w="1800" w:type="dxa"/>
          </w:tcPr>
          <w:p>
            <w:r>
              <w:t xml:space="preserve">Gestion</w:t>
            </w:r>
          </w:p>
        </w:tc>
        <w:tc>
          <w:tcPr>
            <w:tcW w:w="1800" w:type="dxa"/>
          </w:tcPr>
          <w:p>
            <w:r>
              <w:t xml:space="preserve">No</w:t>
            </w:r>
          </w:p>
        </w:tc>
      </w:tr>
      <w:tr>
        <w:tc>
          <w:tcPr>
            <w:tcW w:w="1800" w:type="dxa"/>
          </w:tcPr>
          <w:p>
            <w:r>
              <w:t xml:space="preserve">Informes Excel de oficina</w:t>
            </w:r>
          </w:p>
        </w:tc>
        <w:tc>
          <w:tcPr>
            <w:tcW w:w="1800" w:type="dxa"/>
          </w:tcPr>
          <w:p>
            <w:r>
              <w:t xml:space="preserve">Si</w:t>
            </w:r>
          </w:p>
        </w:tc>
        <w:tc>
          <w:tcPr>
            <w:tcW w:w="1800" w:type="dxa"/>
          </w:tcPr>
          <w:p>
            <w:r>
              <w:t xml:space="preserve">Si</w:t>
            </w:r>
          </w:p>
        </w:tc>
        <w:tc>
          <w:tcPr>
            <w:tcW w:w="1800" w:type="dxa"/>
          </w:tcPr>
          <w:p>
            <w:r>
              <w:t xml:space="preserve">Si</w:t>
            </w:r>
          </w:p>
        </w:tc>
        <w:tc>
          <w:tcPr>
            <w:tcW w:w="1800" w:type="dxa"/>
          </w:tcPr>
          <w:p>
            <w:r>
              <w:t xml:space="preserve">No</w:t>
            </w:r>
          </w:p>
        </w:tc>
      </w:tr>
      <w:tr>
        <w:tc>
          <w:tcPr>
            <w:tcW w:w="1800" w:type="dxa"/>
          </w:tcPr>
          <w:p>
            <w:r>
              <w:t xml:space="preserve">Direcciones administrativas</w:t>
            </w:r>
          </w:p>
        </w:tc>
        <w:tc>
          <w:tcPr>
            <w:tcW w:w="1800" w:type="dxa"/>
          </w:tcPr>
          <w:p>
            <w:r>
              <w:t xml:space="preserve">Si</w:t>
            </w:r>
          </w:p>
        </w:tc>
        <w:tc>
          <w:tcPr>
            <w:tcW w:w="1800" w:type="dxa"/>
          </w:tcPr>
          <w:p>
            <w:r>
              <w:t xml:space="preserve">Si</w:t>
            </w:r>
          </w:p>
        </w:tc>
        <w:tc>
          <w:tcPr>
            <w:tcW w:w="1800" w:type="dxa"/>
          </w:tcPr>
          <w:p>
            <w:r>
              <w:t xml:space="preserve">No</w:t>
            </w:r>
          </w:p>
        </w:tc>
        <w:tc>
          <w:tcPr>
            <w:tcW w:w="1800" w:type="dxa"/>
          </w:tcPr>
          <w:p>
            <w:r>
              <w:t xml:space="preserve">Solo area propia si se habilita</w:t>
            </w:r>
          </w:p>
        </w:tc>
      </w:tr>
      <w:tr>
        <w:tc>
          <w:tcPr>
            <w:tcW w:w="1800" w:type="dxa"/>
          </w:tcPr>
          <w:p>
            <w:r>
              <w:t xml:space="preserve">Salesforce y revision de donaciones</w:t>
            </w:r>
          </w:p>
        </w:tc>
        <w:tc>
          <w:tcPr>
            <w:tcW w:w="1800" w:type="dxa"/>
          </w:tcPr>
          <w:p>
            <w:r>
              <w:t xml:space="preserve">Si</w:t>
            </w:r>
          </w:p>
        </w:tc>
        <w:tc>
          <w:tcPr>
            <w:tcW w:w="1800" w:type="dxa"/>
          </w:tcPr>
          <w:p>
            <w:r>
              <w:t xml:space="preserve">Si</w:t>
            </w:r>
          </w:p>
        </w:tc>
        <w:tc>
          <w:tcPr>
            <w:tcW w:w="1800" w:type="dxa"/>
          </w:tcPr>
          <w:p>
            <w:r>
              <w:t xml:space="preserve">No</w:t>
            </w:r>
          </w:p>
        </w:tc>
        <w:tc>
          <w:tcPr>
            <w:tcW w:w="1800" w:type="dxa"/>
          </w:tcPr>
          <w:p>
            <w:r>
              <w:t xml:space="preserve">No</w:t>
            </w:r>
          </w:p>
        </w:tc>
      </w:tr>
      <w:tr>
        <w:tc>
          <w:tcPr>
            <w:tcW w:w="1800" w:type="dxa"/>
          </w:tcPr>
          <w:p>
            <w:r>
              <w:t xml:space="preserve">Duplicados, conciliacion y mandatos SEPA</w:t>
            </w:r>
          </w:p>
        </w:tc>
        <w:tc>
          <w:tcPr>
            <w:tcW w:w="1800" w:type="dxa"/>
          </w:tcPr>
          <w:p>
            <w:r>
              <w:t xml:space="preserve">Si</w:t>
            </w:r>
          </w:p>
        </w:tc>
        <w:tc>
          <w:tcPr>
            <w:tcW w:w="1800" w:type="dxa"/>
          </w:tcPr>
          <w:p>
            <w:r>
              <w:t xml:space="preserve">Si</w:t>
            </w:r>
          </w:p>
        </w:tc>
        <w:tc>
          <w:tcPr>
            <w:tcW w:w="1800" w:type="dxa"/>
          </w:tcPr>
          <w:p>
            <w:r>
              <w:t xml:space="preserve">No</w:t>
            </w:r>
          </w:p>
        </w:tc>
        <w:tc>
          <w:tcPr>
            <w:tcW w:w="1800" w:type="dxa"/>
          </w:tcPr>
          <w:p>
            <w:r>
              <w:t xml:space="preserve">No</w:t>
            </w:r>
          </w:p>
        </w:tc>
      </w:tr>
      <w:tr>
        <w:tc>
          <w:tcPr>
            <w:tcW w:w="1800" w:type="dxa"/>
          </w:tcPr>
          <w:p>
            <w:r>
              <w:t xml:space="preserve">Medios, plantillas, canales y textos</w:t>
            </w:r>
          </w:p>
        </w:tc>
        <w:tc>
          <w:tcPr>
            <w:tcW w:w="1800" w:type="dxa"/>
          </w:tcPr>
          <w:p>
            <w:r>
              <w:t xml:space="preserve">Si</w:t>
            </w:r>
          </w:p>
        </w:tc>
        <w:tc>
          <w:tcPr>
            <w:tcW w:w="1800" w:type="dxa"/>
          </w:tcPr>
          <w:p>
            <w:r>
              <w:t xml:space="preserve">No</w:t>
            </w:r>
          </w:p>
        </w:tc>
        <w:tc>
          <w:tcPr>
            <w:tcW w:w="1800" w:type="dxa"/>
          </w:tcPr>
          <w:p>
            <w:r>
              <w:t xml:space="preserve">Si</w:t>
            </w:r>
          </w:p>
        </w:tc>
        <w:tc>
          <w:tcPr>
            <w:tcW w:w="1800" w:type="dxa"/>
          </w:tcPr>
          <w:p>
            <w:r>
              <w:t xml:space="preserve">No</w:t>
            </w:r>
          </w:p>
        </w:tc>
      </w:tr>
      <w:tr>
        <w:tc>
          <w:tcPr>
            <w:tcW w:w="1800" w:type="dxa"/>
          </w:tcPr>
          <w:p>
            <w:r>
              <w:t xml:space="preserve">Intentos de donacion</w:t>
            </w:r>
          </w:p>
        </w:tc>
        <w:tc>
          <w:tcPr>
            <w:tcW w:w="1800" w:type="dxa"/>
          </w:tcPr>
          <w:p>
            <w:r>
              <w:t xml:space="preserve">Si</w:t>
            </w:r>
          </w:p>
        </w:tc>
        <w:tc>
          <w:tcPr>
            <w:tcW w:w="1800" w:type="dxa"/>
          </w:tcPr>
          <w:p>
            <w:r>
              <w:t xml:space="preserve">No</w:t>
            </w:r>
          </w:p>
        </w:tc>
        <w:tc>
          <w:tcPr>
            <w:tcW w:w="1800" w:type="dxa"/>
          </w:tcPr>
          <w:p>
            <w:r>
              <w:t xml:space="preserve">No</w:t>
            </w:r>
          </w:p>
        </w:tc>
        <w:tc>
          <w:tcPr>
            <w:tcW w:w="1800" w:type="dxa"/>
          </w:tcPr>
          <w:p>
            <w:r>
              <w:t xml:space="preserve">No</w:t>
            </w:r>
          </w:p>
        </w:tc>
      </w:tr>
      <w:tr>
        <w:tc>
          <w:tcPr>
            <w:tcW w:w="1800" w:type="dxa"/>
          </w:tcPr>
          <w:p>
            <w:r>
              <w:t xml:space="preserve">Configuracion, usuarios y seguridad</w:t>
            </w:r>
          </w:p>
        </w:tc>
        <w:tc>
          <w:tcPr>
            <w:tcW w:w="1800" w:type="dxa"/>
          </w:tcPr>
          <w:p>
            <w:r>
              <w:t xml:space="preserve">Si</w:t>
            </w:r>
          </w:p>
        </w:tc>
        <w:tc>
          <w:tcPr>
            <w:tcW w:w="1800" w:type="dxa"/>
          </w:tcPr>
          <w:p>
            <w:r>
              <w:t xml:space="preserve">No</w:t>
            </w:r>
          </w:p>
        </w:tc>
        <w:tc>
          <w:tcPr>
            <w:tcW w:w="1800" w:type="dxa"/>
          </w:tcPr>
          <w:p>
            <w:r>
              <w:t xml:space="preserve">No</w:t>
            </w:r>
          </w:p>
        </w:tc>
        <w:tc>
          <w:tcPr>
            <w:tcW w:w="1800" w:type="dxa"/>
          </w:tcPr>
          <w:p>
            <w:r>
              <w:t xml:space="preserve">No</w:t>
            </w:r>
          </w:p>
        </w:tc>
      </w:tr>
      <w:tr>
        <w:tc>
          <w:tcPr>
            <w:tcW w:w="1800" w:type="dxa"/>
          </w:tcPr>
          <w:p>
            <w:r>
              <w:t xml:space="preserve">Logs, mantenimiento y catalogos tecnicos</w:t>
            </w:r>
          </w:p>
        </w:tc>
        <w:tc>
          <w:tcPr>
            <w:tcW w:w="1800" w:type="dxa"/>
          </w:tcPr>
          <w:p>
            <w:r>
              <w:t xml:space="preserve">Si</w:t>
            </w:r>
          </w:p>
        </w:tc>
        <w:tc>
          <w:tcPr>
            <w:tcW w:w="1800" w:type="dxa"/>
          </w:tcPr>
          <w:p>
            <w:r>
              <w:t xml:space="preserve">No</w:t>
            </w:r>
          </w:p>
        </w:tc>
        <w:tc>
          <w:tcPr>
            <w:tcW w:w="1800" w:type="dxa"/>
          </w:tcPr>
          <w:p>
            <w:r>
              <w:t xml:space="preserve">No</w:t>
            </w:r>
          </w:p>
        </w:tc>
        <w:tc>
          <w:tcPr>
            <w:tcW w:w="1800" w:type="dxa"/>
          </w:tcPr>
          <w:p>
            <w:r>
              <w:t xml:space="preserve">No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Heading1"/>
      </w:pPr>
      <w:r>
        <w:t xml:space="preserve">16. Buenas practicas y escalado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1. Confirmar contacto, importe, campaña, estado y metodo antes de actuar.</w:t>
      </w:r>
    </w:p>
    <w:p>
      <w:pPr>
        <w:pStyle w:val="Normal"/>
      </w:pPr>
      <w:r>
        <w:t xml:space="preserve">2. No corregir incidencias de email alterando el estado economico.</w:t>
      </w:r>
    </w:p>
    <w:p>
      <w:pPr>
        <w:pStyle w:val="Normal"/>
      </w:pPr>
      <w:r>
        <w:t xml:space="preserve">3. No eliminar ni fusionar registros sin revisar dependencias.</w:t>
      </w:r>
    </w:p>
    <w:p>
      <w:pPr>
        <w:pStyle w:val="Normal"/>
      </w:pPr>
      <w:r>
        <w:t xml:space="preserve">4. Exportar solo los datos necesarios y custodiar los ficheros.</w:t>
      </w:r>
    </w:p>
    <w:p>
      <w:pPr>
        <w:pStyle w:val="Normal"/>
      </w:pPr>
      <w:r>
        <w:t xml:space="preserve">5. En SEPA, previsualizar antes de aplicar y conservar los ficheros bancarios autorizados.</w:t>
      </w:r>
    </w:p>
    <w:p>
      <w:pPr>
        <w:pStyle w:val="Normal"/>
      </w:pPr>
      <w:r>
        <w:t xml:space="preserve">6. Escalar a IT los errores de permisos, SMTP, rutas, documentos, pasarelas o procesos programados.</w:t>
      </w:r>
    </w:p>
    <w:p>
      <w:pPr>
        <w:pStyle w:val="Normal"/>
      </w:pPr>
      <w:r>
        <w:t xml:space="preserve">7. Registrar el contexto de la incidencia sin copiar datos personales innecesarios en canales tecnicos.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sectPr>
      <w:footerReference xmlns:r="http://schemas.openxmlformats.org/officeDocument/2006/relationships" w:type="default" r:id="rId2"/>
      <w:pgSz w:w="11906" w:h="16838"/>
      <w:pgMar w:top="1200" w:right="1100" w:bottom="1200" w:left="110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 xml:space="preserve">Manual de usuario donoradmin 2.3.0 · 02/09/2026 · Página </w:t>
    </w:r>
    <w:fldSimple w:instr="PAGE">
      <w:r>
        <w:t>1</w:t>
      </w:r>
    </w:fldSimple>
  </w:p>
</w:ftr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pPr>
        <w:ind w:left="540" w:hanging="2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style w:type="paragraph" w:default="1" w:styleId="Normal">
    <w:name w:val="Normal"/>
    <w:pPr>
      <w:spacing w:after="120" w:line="276" w:lineRule="auto"/>
      <w:jc w:val="both"/>
    </w:pPr>
    <w:rPr>
      <w:rFonts w:ascii="Aptos" w:hAnsi="Aptos"/>
      <w:sz w:val="21"/>
    </w:rPr>
  </w:style>
  <w:style w:type="paragraph" w:styleId="Title">
    <w:name w:val="Title"/>
    <w:pPr>
      <w:spacing w:before="240" w:after="240"/>
    </w:pPr>
    <w:rPr>
      <w:b/>
      <w:color w:val="163A5C"/>
      <w:sz w:val="38"/>
    </w:rPr>
  </w:style>
  <w:style w:type="paragraph" w:styleId="Heading1">
    <w:name w:val="heading 1"/>
    <w:pPr>
      <w:keepNext/>
      <w:spacing w:before="300" w:after="120"/>
      <w:outlineLvl w:val="0"/>
    </w:pPr>
    <w:rPr>
      <w:b/>
      <w:color w:val="163A5C"/>
      <w:sz w:val="30"/>
    </w:rPr>
  </w:style>
  <w:style w:type="paragraph" w:styleId="Heading2">
    <w:name w:val="heading 2"/>
    <w:pPr>
      <w:keepNext/>
      <w:spacing w:before="220"/>
      <w:outlineLvl w:val="1"/>
    </w:pPr>
    <w:rPr>
      <w:b/>
      <w:color w:val="286A96"/>
      <w:sz w:val="26"/>
    </w:rPr>
  </w:style>
  <w:style w:type="paragraph" w:styleId="Heading3">
    <w:name w:val="heading 3"/>
    <w:pPr>
      <w:keepNext/>
      <w:outlineLvl w:val="2"/>
    </w:pPr>
    <w:rPr>
      <w:b/>
      <w:sz w:val="23"/>
    </w:rPr>
  </w:style>
  <w:style w:type="paragraph" w:styleId="Code">
    <w:name w:val="Code"/>
    <w:rPr>
      <w:rFonts w:ascii="Consolas" w:hAnsi="Consolas"/>
      <w:sz w:val="18"/>
    </w:rPr>
  </w:style>
  <w:style w:type="table" w:styleId="TableGrid">
    <w:name w:val="Table Grid"/>
    <w:tblPr>
      <w:tblBorders>
        <w:top w:val="single" w:sz="4" w:color="B7C9D6"/>
        <w:left w:val="single" w:sz="4" w:color="B7C9D6"/>
        <w:bottom w:val="single" w:sz="4" w:color="B7C9D6"/>
        <w:right w:val="single" w:sz="4" w:color="B7C9D6"/>
        <w:insideH w:val="single" w:sz="4" w:color="B7C9D6"/>
        <w:insideV w:val="single" w:sz="4" w:color="B7C9D6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Number" Type="http://schemas.openxmlformats.org/officeDocument/2006/relationships/numbering" Target="numbering.xml"/></Relationships>
</file>